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2EC4"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b/>
          <w:bCs/>
          <w:kern w:val="0"/>
          <w:sz w:val="40"/>
          <w:szCs w:val="40"/>
          <w14:ligatures w14:val="none"/>
        </w:rPr>
        <w:t xml:space="preserve">Cass County Child Protection Ordinance </w:t>
      </w:r>
    </w:p>
    <w:p w14:paraId="0A18E6F4"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b/>
          <w:bCs/>
          <w:kern w:val="0"/>
          <w:sz w:val="28"/>
          <w:szCs w:val="28"/>
          <w14:ligatures w14:val="none"/>
        </w:rPr>
        <w:t xml:space="preserve">Zero Tolerance for the Dissemination of Sexually Explicit Material to Minors </w:t>
      </w:r>
      <w:r w:rsidRPr="004104A2">
        <w:rPr>
          <w:rFonts w:ascii="Calibri" w:eastAsia="Times New Roman" w:hAnsi="Calibri" w:cs="Calibri"/>
          <w:b/>
          <w:bCs/>
          <w:kern w:val="0"/>
          <w14:ligatures w14:val="none"/>
        </w:rPr>
        <w:t xml:space="preserve">Preface </w:t>
      </w:r>
    </w:p>
    <w:p w14:paraId="7860D8A2"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b/>
          <w:bCs/>
          <w:kern w:val="0"/>
          <w:sz w:val="22"/>
          <w:szCs w:val="22"/>
          <w14:ligatures w14:val="none"/>
        </w:rPr>
        <w:t xml:space="preserve">MCL 722.675(1)(a) </w:t>
      </w:r>
      <w:r w:rsidRPr="004104A2">
        <w:rPr>
          <w:rFonts w:ascii="Calibri" w:eastAsia="Times New Roman" w:hAnsi="Calibri" w:cs="Calibri"/>
          <w:kern w:val="0"/>
          <w:sz w:val="22"/>
          <w:szCs w:val="22"/>
          <w14:ligatures w14:val="none"/>
        </w:rPr>
        <w:t xml:space="preserve">and </w:t>
      </w:r>
      <w:r w:rsidRPr="004104A2">
        <w:rPr>
          <w:rFonts w:ascii="Calibri" w:eastAsia="Times New Roman" w:hAnsi="Calibri" w:cs="Calibri"/>
          <w:b/>
          <w:bCs/>
          <w:kern w:val="0"/>
          <w:sz w:val="22"/>
          <w:szCs w:val="22"/>
          <w14:ligatures w14:val="none"/>
        </w:rPr>
        <w:t xml:space="preserve">(b) </w:t>
      </w:r>
      <w:r w:rsidRPr="004104A2">
        <w:rPr>
          <w:rFonts w:ascii="Calibri" w:eastAsia="Times New Roman" w:hAnsi="Calibri" w:cs="Calibri"/>
          <w:kern w:val="0"/>
          <w:sz w:val="22"/>
          <w:szCs w:val="22"/>
          <w14:ligatures w14:val="none"/>
        </w:rPr>
        <w:t xml:space="preserve">state: </w:t>
      </w:r>
    </w:p>
    <w:p w14:paraId="3663AF52"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kern w:val="0"/>
          <w:sz w:val="22"/>
          <w:szCs w:val="22"/>
          <w14:ligatures w14:val="none"/>
        </w:rPr>
        <w:t xml:space="preserve">A person is guilty of disseminating sexually explicit matter to a minor if that person does either of the following: </w:t>
      </w:r>
    </w:p>
    <w:p w14:paraId="2949A8FE"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kern w:val="0"/>
          <w:sz w:val="22"/>
          <w:szCs w:val="22"/>
          <w14:ligatures w14:val="none"/>
        </w:rPr>
        <w:t xml:space="preserve">(a) Knowingly disseminates to a minor sexually explicit visual or verbal material that is harmful to minors. </w:t>
      </w:r>
    </w:p>
    <w:p w14:paraId="09E4E7B3"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kern w:val="0"/>
          <w:sz w:val="22"/>
          <w:szCs w:val="22"/>
          <w14:ligatures w14:val="none"/>
        </w:rPr>
        <w:t xml:space="preserve">(b) Knowingly exhibits to a minor a sexually explicit performance that is harmful to minors. </w:t>
      </w:r>
    </w:p>
    <w:p w14:paraId="2D99862F"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kern w:val="0"/>
          <w:sz w:val="22"/>
          <w:szCs w:val="22"/>
          <w14:ligatures w14:val="none"/>
        </w:rPr>
        <w:t xml:space="preserve">Additionally, this statute provides definitions to facilitate the enforcement of </w:t>
      </w:r>
      <w:r w:rsidRPr="004104A2">
        <w:rPr>
          <w:rFonts w:ascii="Calibri" w:eastAsia="Times New Roman" w:hAnsi="Calibri" w:cs="Calibri"/>
          <w:b/>
          <w:bCs/>
          <w:kern w:val="0"/>
          <w:sz w:val="22"/>
          <w:szCs w:val="22"/>
          <w14:ligatures w14:val="none"/>
        </w:rPr>
        <w:t>MCL 722.675</w:t>
      </w:r>
      <w:r w:rsidRPr="004104A2">
        <w:rPr>
          <w:rFonts w:ascii="Calibri" w:eastAsia="Times New Roman" w:hAnsi="Calibri" w:cs="Calibri"/>
          <w:kern w:val="0"/>
          <w:sz w:val="22"/>
          <w:szCs w:val="22"/>
          <w14:ligatures w14:val="none"/>
        </w:rPr>
        <w:t>(</w:t>
      </w:r>
      <w:r w:rsidRPr="004104A2">
        <w:rPr>
          <w:rFonts w:ascii="Calibri" w:eastAsia="Times New Roman" w:hAnsi="Calibri" w:cs="Calibri"/>
          <w:b/>
          <w:bCs/>
          <w:kern w:val="0"/>
          <w:sz w:val="22"/>
          <w:szCs w:val="22"/>
          <w14:ligatures w14:val="none"/>
        </w:rPr>
        <w:t xml:space="preserve">1) </w:t>
      </w:r>
      <w:r w:rsidRPr="004104A2">
        <w:rPr>
          <w:rFonts w:ascii="Calibri" w:eastAsia="Times New Roman" w:hAnsi="Calibri" w:cs="Calibri"/>
          <w:kern w:val="0"/>
          <w:sz w:val="22"/>
          <w:szCs w:val="22"/>
          <w14:ligatures w14:val="none"/>
        </w:rPr>
        <w:t xml:space="preserve">as follows: </w:t>
      </w:r>
      <w:r w:rsidRPr="004104A2">
        <w:rPr>
          <w:rFonts w:ascii="Calibri" w:eastAsia="Times New Roman" w:hAnsi="Calibri" w:cs="Calibri"/>
          <w:b/>
          <w:bCs/>
          <w:kern w:val="0"/>
          <w:sz w:val="22"/>
          <w:szCs w:val="22"/>
          <w14:ligatures w14:val="none"/>
        </w:rPr>
        <w:t xml:space="preserve">MCL 722.675(2) </w:t>
      </w:r>
      <w:r w:rsidRPr="004104A2">
        <w:rPr>
          <w:rFonts w:ascii="Calibri" w:eastAsia="Times New Roman" w:hAnsi="Calibri" w:cs="Calibri"/>
          <w:kern w:val="0"/>
          <w:sz w:val="22"/>
          <w:szCs w:val="22"/>
          <w14:ligatures w14:val="none"/>
        </w:rPr>
        <w:t>defines the term "Knowingly"</w:t>
      </w:r>
      <w:r w:rsidRPr="004104A2">
        <w:rPr>
          <w:rFonts w:ascii="Calibri" w:eastAsia="Times New Roman" w:hAnsi="Calibri" w:cs="Calibri"/>
          <w:kern w:val="0"/>
          <w:sz w:val="22"/>
          <w:szCs w:val="22"/>
          <w14:ligatures w14:val="none"/>
        </w:rPr>
        <w:br/>
      </w:r>
      <w:r w:rsidRPr="004104A2">
        <w:rPr>
          <w:rFonts w:ascii="Calibri" w:eastAsia="Times New Roman" w:hAnsi="Calibri" w:cs="Calibri"/>
          <w:b/>
          <w:bCs/>
          <w:kern w:val="0"/>
          <w:sz w:val="22"/>
          <w:szCs w:val="22"/>
          <w14:ligatures w14:val="none"/>
        </w:rPr>
        <w:t xml:space="preserve">MCL 722.673(g) </w:t>
      </w:r>
      <w:r w:rsidRPr="004104A2">
        <w:rPr>
          <w:rFonts w:ascii="Calibri" w:eastAsia="Times New Roman" w:hAnsi="Calibri" w:cs="Calibri"/>
          <w:kern w:val="0"/>
          <w:sz w:val="22"/>
          <w:szCs w:val="22"/>
          <w14:ligatures w14:val="none"/>
        </w:rPr>
        <w:t>defines "sexually explicit performance"</w:t>
      </w:r>
      <w:r w:rsidRPr="004104A2">
        <w:rPr>
          <w:rFonts w:ascii="Calibri" w:eastAsia="Times New Roman" w:hAnsi="Calibri" w:cs="Calibri"/>
          <w:kern w:val="0"/>
          <w:sz w:val="22"/>
          <w:szCs w:val="22"/>
          <w14:ligatures w14:val="none"/>
        </w:rPr>
        <w:br/>
      </w:r>
      <w:r w:rsidRPr="004104A2">
        <w:rPr>
          <w:rFonts w:ascii="Calibri" w:eastAsia="Times New Roman" w:hAnsi="Calibri" w:cs="Calibri"/>
          <w:b/>
          <w:bCs/>
          <w:kern w:val="0"/>
          <w:sz w:val="22"/>
          <w:szCs w:val="22"/>
          <w14:ligatures w14:val="none"/>
        </w:rPr>
        <w:t xml:space="preserve">MCL 722.673(h) </w:t>
      </w:r>
      <w:r w:rsidRPr="004104A2">
        <w:rPr>
          <w:rFonts w:ascii="Calibri" w:eastAsia="Times New Roman" w:hAnsi="Calibri" w:cs="Calibri"/>
          <w:kern w:val="0"/>
          <w:sz w:val="22"/>
          <w:szCs w:val="22"/>
          <w14:ligatures w14:val="none"/>
        </w:rPr>
        <w:t xml:space="preserve">defines "sexually explicit verbal material" </w:t>
      </w:r>
    </w:p>
    <w:p w14:paraId="75BD8FD7"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b/>
          <w:bCs/>
          <w:kern w:val="0"/>
          <w:sz w:val="22"/>
          <w:szCs w:val="22"/>
          <w14:ligatures w14:val="none"/>
        </w:rPr>
        <w:t xml:space="preserve">MCL 722.673(i) </w:t>
      </w:r>
      <w:r w:rsidRPr="004104A2">
        <w:rPr>
          <w:rFonts w:ascii="Calibri" w:eastAsia="Times New Roman" w:hAnsi="Calibri" w:cs="Calibri"/>
          <w:kern w:val="0"/>
          <w:sz w:val="22"/>
          <w:szCs w:val="22"/>
          <w14:ligatures w14:val="none"/>
        </w:rPr>
        <w:t>defines "sexually explicit visual material"</w:t>
      </w:r>
      <w:r w:rsidRPr="004104A2">
        <w:rPr>
          <w:rFonts w:ascii="Calibri" w:eastAsia="Times New Roman" w:hAnsi="Calibri" w:cs="Calibri"/>
          <w:kern w:val="0"/>
          <w:sz w:val="22"/>
          <w:szCs w:val="22"/>
          <w14:ligatures w14:val="none"/>
        </w:rPr>
        <w:br/>
      </w:r>
      <w:r w:rsidRPr="004104A2">
        <w:rPr>
          <w:rFonts w:ascii="Calibri" w:eastAsia="Times New Roman" w:hAnsi="Calibri" w:cs="Calibri"/>
          <w:b/>
          <w:bCs/>
          <w:kern w:val="0"/>
          <w:sz w:val="22"/>
          <w:szCs w:val="22"/>
          <w14:ligatures w14:val="none"/>
        </w:rPr>
        <w:t xml:space="preserve">MCL 722.674(a) </w:t>
      </w:r>
      <w:r w:rsidRPr="004104A2">
        <w:rPr>
          <w:rFonts w:ascii="Calibri" w:eastAsia="Times New Roman" w:hAnsi="Calibri" w:cs="Calibri"/>
          <w:kern w:val="0"/>
          <w:sz w:val="22"/>
          <w:szCs w:val="22"/>
          <w14:ligatures w14:val="none"/>
        </w:rPr>
        <w:t xml:space="preserve">defines a 3 part test for determining if "sexually explicit matter" meets the </w:t>
      </w:r>
    </w:p>
    <w:p w14:paraId="044411FC"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kern w:val="0"/>
          <w:sz w:val="22"/>
          <w:szCs w:val="22"/>
          <w14:ligatures w14:val="none"/>
        </w:rPr>
        <w:t xml:space="preserve">threshold for "harmful to minors" </w:t>
      </w:r>
    </w:p>
    <w:p w14:paraId="4272B329"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kern w:val="0"/>
          <w:sz w:val="22"/>
          <w:szCs w:val="22"/>
          <w14:ligatures w14:val="none"/>
        </w:rPr>
        <w:t xml:space="preserve">The 3 part test of </w:t>
      </w:r>
      <w:r w:rsidRPr="004104A2">
        <w:rPr>
          <w:rFonts w:ascii="Calibri" w:eastAsia="Times New Roman" w:hAnsi="Calibri" w:cs="Calibri"/>
          <w:b/>
          <w:bCs/>
          <w:kern w:val="0"/>
          <w:sz w:val="22"/>
          <w:szCs w:val="22"/>
          <w14:ligatures w14:val="none"/>
        </w:rPr>
        <w:t xml:space="preserve">MCL 722.674(a) </w:t>
      </w:r>
      <w:r w:rsidRPr="004104A2">
        <w:rPr>
          <w:rFonts w:ascii="Calibri" w:eastAsia="Times New Roman" w:hAnsi="Calibri" w:cs="Calibri"/>
          <w:kern w:val="0"/>
          <w:sz w:val="22"/>
          <w:szCs w:val="22"/>
          <w14:ligatures w14:val="none"/>
        </w:rPr>
        <w:t xml:space="preserve">provides for each county to set standards to which the 3 part test will be applied. </w:t>
      </w:r>
    </w:p>
    <w:p w14:paraId="454FF1BA"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kern w:val="0"/>
          <w:sz w:val="22"/>
          <w:szCs w:val="22"/>
          <w14:ligatures w14:val="none"/>
        </w:rPr>
        <w:t xml:space="preserve">This ordinance is to be construed to establish that within Cass County Michigan the 3 part test is met when any "sexually explicit matter" as described in </w:t>
      </w:r>
      <w:r w:rsidRPr="004104A2">
        <w:rPr>
          <w:rFonts w:ascii="Calibri" w:eastAsia="Times New Roman" w:hAnsi="Calibri" w:cs="Calibri"/>
          <w:b/>
          <w:bCs/>
          <w:kern w:val="0"/>
          <w:sz w:val="22"/>
          <w:szCs w:val="22"/>
          <w14:ligatures w14:val="none"/>
        </w:rPr>
        <w:t xml:space="preserve">MCL 722.673(f) </w:t>
      </w:r>
      <w:r w:rsidRPr="004104A2">
        <w:rPr>
          <w:rFonts w:ascii="Calibri" w:eastAsia="Times New Roman" w:hAnsi="Calibri" w:cs="Calibri"/>
          <w:kern w:val="0"/>
          <w:sz w:val="22"/>
          <w:szCs w:val="22"/>
          <w14:ligatures w14:val="none"/>
        </w:rPr>
        <w:t xml:space="preserve">is disseminated to a minor. And moreover, the exceptions as laid out in </w:t>
      </w:r>
      <w:r w:rsidRPr="004104A2">
        <w:rPr>
          <w:rFonts w:ascii="Calibri" w:eastAsia="Times New Roman" w:hAnsi="Calibri" w:cs="Calibri"/>
          <w:b/>
          <w:bCs/>
          <w:kern w:val="0"/>
          <w:sz w:val="22"/>
          <w:szCs w:val="22"/>
          <w14:ligatures w14:val="none"/>
        </w:rPr>
        <w:t>MCL 722.676</w:t>
      </w:r>
      <w:r w:rsidRPr="004104A2">
        <w:rPr>
          <w:rFonts w:ascii="Calibri" w:eastAsia="Times New Roman" w:hAnsi="Calibri" w:cs="Calibri"/>
          <w:kern w:val="0"/>
          <w:sz w:val="22"/>
          <w:szCs w:val="22"/>
          <w14:ligatures w14:val="none"/>
        </w:rPr>
        <w:t xml:space="preserve">, may only be met in accordance with the provisions of this ordinance as </w:t>
      </w:r>
      <w:r w:rsidRPr="004104A2">
        <w:rPr>
          <w:rFonts w:ascii="Calibri" w:eastAsia="Times New Roman" w:hAnsi="Calibri" w:cs="Calibri"/>
          <w:b/>
          <w:bCs/>
          <w:kern w:val="0"/>
          <w:sz w:val="22"/>
          <w:szCs w:val="22"/>
          <w14:ligatures w14:val="none"/>
        </w:rPr>
        <w:t xml:space="preserve">MCL 722.676 </w:t>
      </w:r>
      <w:r w:rsidRPr="004104A2">
        <w:rPr>
          <w:rFonts w:ascii="Calibri" w:eastAsia="Times New Roman" w:hAnsi="Calibri" w:cs="Calibri"/>
          <w:kern w:val="0"/>
          <w:sz w:val="22"/>
          <w:szCs w:val="22"/>
          <w14:ligatures w14:val="none"/>
        </w:rPr>
        <w:t xml:space="preserve">is subject to limitations imposed by </w:t>
      </w:r>
      <w:r w:rsidRPr="004104A2">
        <w:rPr>
          <w:rFonts w:ascii="Calibri" w:eastAsia="Times New Roman" w:hAnsi="Calibri" w:cs="Calibri"/>
          <w:b/>
          <w:bCs/>
          <w:kern w:val="0"/>
          <w:sz w:val="22"/>
          <w:szCs w:val="22"/>
          <w14:ligatures w14:val="none"/>
        </w:rPr>
        <w:t>MCL 380.10</w:t>
      </w:r>
      <w:r w:rsidRPr="004104A2">
        <w:rPr>
          <w:rFonts w:ascii="Calibri" w:eastAsia="Times New Roman" w:hAnsi="Calibri" w:cs="Calibri"/>
          <w:kern w:val="0"/>
          <w:sz w:val="22"/>
          <w:szCs w:val="22"/>
          <w14:ligatures w14:val="none"/>
        </w:rPr>
        <w:t xml:space="preserve">, a parents fundamental right to direct the care teaching and education of their child </w:t>
      </w:r>
    </w:p>
    <w:p w14:paraId="26F95180"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b/>
          <w:bCs/>
          <w:kern w:val="0"/>
          <w14:ligatures w14:val="none"/>
        </w:rPr>
        <w:t xml:space="preserve">Preamble </w:t>
      </w:r>
    </w:p>
    <w:p w14:paraId="45B868AD"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kern w:val="0"/>
          <w14:ligatures w14:val="none"/>
        </w:rPr>
        <w:t xml:space="preserve">An ordinance to: (1) prohibit the dissemination, exhibiting, display, or making accessible "sexually explicit matter" to minors; (2) provide penalties and sanctions; (3) impose duties on law enforcement and the county prosecuting attorney; and (4) preempt local units of government from complicity in the dissemination, exhibition, display, or making accessible. </w:t>
      </w:r>
    </w:p>
    <w:p w14:paraId="4E949222" w14:textId="1F6D5A33" w:rsidR="004104A2" w:rsidRPr="004104A2" w:rsidRDefault="004104A2" w:rsidP="004104A2">
      <w:pPr>
        <w:rPr>
          <w:rFonts w:ascii="Times New Roman" w:eastAsia="Times New Roman" w:hAnsi="Times New Roman" w:cs="Times New Roman"/>
          <w:kern w:val="0"/>
          <w14:ligatures w14:val="none"/>
        </w:rPr>
      </w:pPr>
    </w:p>
    <w:p w14:paraId="34B701A9"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b/>
          <w:bCs/>
          <w:kern w:val="0"/>
          <w:sz w:val="40"/>
          <w:szCs w:val="40"/>
          <w14:ligatures w14:val="none"/>
        </w:rPr>
        <w:t xml:space="preserve">Cass County Child Protection Ordinance </w:t>
      </w:r>
      <w:r w:rsidRPr="004104A2">
        <w:rPr>
          <w:rFonts w:ascii="Calibri" w:eastAsia="Times New Roman" w:hAnsi="Calibri" w:cs="Calibri"/>
          <w:b/>
          <w:bCs/>
          <w:kern w:val="0"/>
          <w14:ligatures w14:val="none"/>
        </w:rPr>
        <w:t xml:space="preserve">Section I </w:t>
      </w:r>
    </w:p>
    <w:p w14:paraId="6BC78C08"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kern w:val="0"/>
          <w14:ligatures w14:val="none"/>
        </w:rPr>
        <w:lastRenderedPageBreak/>
        <w:t xml:space="preserve">(1) This body (Cass County Board of Commissioners) is an appropriate legal body to define 'contemporary local community standards' under </w:t>
      </w:r>
      <w:r w:rsidRPr="004104A2">
        <w:rPr>
          <w:rFonts w:ascii="Calibri" w:eastAsia="Times New Roman" w:hAnsi="Calibri" w:cs="Calibri"/>
          <w:color w:val="0560BF"/>
          <w:kern w:val="0"/>
          <w14:ligatures w14:val="none"/>
        </w:rPr>
        <w:t xml:space="preserve">722.674(b) </w:t>
      </w:r>
      <w:r w:rsidRPr="004104A2">
        <w:rPr>
          <w:rFonts w:ascii="Calibri" w:eastAsia="Times New Roman" w:hAnsi="Calibri" w:cs="Calibri"/>
          <w:kern w:val="0"/>
          <w14:ligatures w14:val="none"/>
        </w:rPr>
        <w:t xml:space="preserve">because this body is the only body with legal jurisdiction over the entire county. </w:t>
      </w:r>
    </w:p>
    <w:p w14:paraId="6153EE5D"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b/>
          <w:bCs/>
          <w:kern w:val="0"/>
          <w14:ligatures w14:val="none"/>
        </w:rPr>
        <w:t xml:space="preserve">Section II </w:t>
      </w:r>
      <w:r w:rsidRPr="004104A2">
        <w:rPr>
          <w:rFonts w:ascii="Calibri" w:eastAsia="Times New Roman" w:hAnsi="Calibri" w:cs="Calibri"/>
          <w:kern w:val="0"/>
          <w14:ligatures w14:val="none"/>
        </w:rPr>
        <w:t xml:space="preserve">addressing the 3 part test </w:t>
      </w:r>
    </w:p>
    <w:p w14:paraId="6BEC4F82"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kern w:val="0"/>
          <w14:ligatures w14:val="none"/>
        </w:rPr>
        <w:t xml:space="preserve">(2) 'considered as a whole, it appeals to the prurient interest of minors as determined by contemporary local community standards' as referenced in </w:t>
      </w:r>
      <w:r w:rsidRPr="004104A2">
        <w:rPr>
          <w:rFonts w:ascii="Calibri" w:eastAsia="Times New Roman" w:hAnsi="Calibri" w:cs="Calibri"/>
          <w:color w:val="0560BF"/>
          <w:kern w:val="0"/>
          <w14:ligatures w14:val="none"/>
        </w:rPr>
        <w:t xml:space="preserve">MCL 722.674(a)(i) </w:t>
      </w:r>
      <w:r w:rsidRPr="004104A2">
        <w:rPr>
          <w:rFonts w:ascii="Calibri" w:eastAsia="Times New Roman" w:hAnsi="Calibri" w:cs="Calibri"/>
          <w:kern w:val="0"/>
          <w14:ligatures w14:val="none"/>
        </w:rPr>
        <w:t xml:space="preserve">is satisfied by an act either of (A) dissemination to a minor sexually explicit visual or verbal material as laid out in </w:t>
      </w:r>
      <w:r w:rsidRPr="004104A2">
        <w:rPr>
          <w:rFonts w:ascii="Calibri" w:eastAsia="Times New Roman" w:hAnsi="Calibri" w:cs="Calibri"/>
          <w:color w:val="0560BF"/>
          <w:kern w:val="0"/>
          <w14:ligatures w14:val="none"/>
        </w:rPr>
        <w:t xml:space="preserve">MCL 722.673(f) </w:t>
      </w:r>
      <w:r w:rsidRPr="004104A2">
        <w:rPr>
          <w:rFonts w:ascii="Calibri" w:eastAsia="Times New Roman" w:hAnsi="Calibri" w:cs="Calibri"/>
          <w:kern w:val="0"/>
          <w14:ligatures w14:val="none"/>
        </w:rPr>
        <w:t xml:space="preserve">or (B) exhibition to a minor a sexually explicit performance as laid out in </w:t>
      </w:r>
      <w:r w:rsidRPr="004104A2">
        <w:rPr>
          <w:rFonts w:ascii="Calibri" w:eastAsia="Times New Roman" w:hAnsi="Calibri" w:cs="Calibri"/>
          <w:color w:val="0560BF"/>
          <w:kern w:val="0"/>
          <w14:ligatures w14:val="none"/>
        </w:rPr>
        <w:t xml:space="preserve">MCL 722.673(f) </w:t>
      </w:r>
    </w:p>
    <w:p w14:paraId="63B31361"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kern w:val="0"/>
          <w14:ligatures w14:val="none"/>
        </w:rPr>
        <w:t xml:space="preserve">(3) 'patently offensive to contemporary local community standards' as referenced in </w:t>
      </w:r>
      <w:r w:rsidRPr="004104A2">
        <w:rPr>
          <w:rFonts w:ascii="Calibri" w:eastAsia="Times New Roman" w:hAnsi="Calibri" w:cs="Calibri"/>
          <w:color w:val="0560BF"/>
          <w:kern w:val="0"/>
          <w14:ligatures w14:val="none"/>
        </w:rPr>
        <w:t xml:space="preserve">MCL 722.674(a)(ii) </w:t>
      </w:r>
      <w:r w:rsidRPr="004104A2">
        <w:rPr>
          <w:rFonts w:ascii="Calibri" w:eastAsia="Times New Roman" w:hAnsi="Calibri" w:cs="Calibri"/>
          <w:kern w:val="0"/>
          <w14:ligatures w14:val="none"/>
        </w:rPr>
        <w:t xml:space="preserve">is satisfied by either of (A) dissemination to a minor sexually explicit visual or verbal material as laid out in </w:t>
      </w:r>
      <w:r w:rsidRPr="004104A2">
        <w:rPr>
          <w:rFonts w:ascii="Calibri" w:eastAsia="Times New Roman" w:hAnsi="Calibri" w:cs="Calibri"/>
          <w:color w:val="0560BF"/>
          <w:kern w:val="0"/>
          <w14:ligatures w14:val="none"/>
        </w:rPr>
        <w:t xml:space="preserve">MCL 722.673(f) </w:t>
      </w:r>
      <w:r w:rsidRPr="004104A2">
        <w:rPr>
          <w:rFonts w:ascii="Calibri" w:eastAsia="Times New Roman" w:hAnsi="Calibri" w:cs="Calibri"/>
          <w:kern w:val="0"/>
          <w14:ligatures w14:val="none"/>
        </w:rPr>
        <w:t>or (B) exhibition to a minor a sexually explicit performance as laid out in</w:t>
      </w:r>
      <w:r w:rsidRPr="004104A2">
        <w:rPr>
          <w:rFonts w:ascii="Calibri" w:eastAsia="Times New Roman" w:hAnsi="Calibri" w:cs="Calibri"/>
          <w:color w:val="0560BF"/>
          <w:kern w:val="0"/>
          <w14:ligatures w14:val="none"/>
        </w:rPr>
        <w:t xml:space="preserve">MCL 722.673(f) </w:t>
      </w:r>
    </w:p>
    <w:p w14:paraId="67FB5278"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kern w:val="0"/>
          <w14:ligatures w14:val="none"/>
        </w:rPr>
        <w:t xml:space="preserve">(4) 'it' as referenced in </w:t>
      </w:r>
      <w:r w:rsidRPr="004104A2">
        <w:rPr>
          <w:rFonts w:ascii="Calibri" w:eastAsia="Times New Roman" w:hAnsi="Calibri" w:cs="Calibri"/>
          <w:color w:val="0560BF"/>
          <w:kern w:val="0"/>
          <w14:ligatures w14:val="none"/>
        </w:rPr>
        <w:t xml:space="preserve">MCL 722.674(a)(iii) </w:t>
      </w:r>
      <w:r w:rsidRPr="004104A2">
        <w:rPr>
          <w:rFonts w:ascii="Calibri" w:eastAsia="Times New Roman" w:hAnsi="Calibri" w:cs="Calibri"/>
          <w:kern w:val="0"/>
          <w14:ligatures w14:val="none"/>
        </w:rPr>
        <w:t xml:space="preserve">or the term 'sexually explicit matter' as referenced in this ordinance means any portion of 'sexually explicit matter' as laid out in </w:t>
      </w:r>
      <w:r w:rsidRPr="004104A2">
        <w:rPr>
          <w:rFonts w:ascii="Calibri" w:eastAsia="Times New Roman" w:hAnsi="Calibri" w:cs="Calibri"/>
          <w:color w:val="0560BF"/>
          <w:kern w:val="0"/>
          <w14:ligatures w14:val="none"/>
        </w:rPr>
        <w:t xml:space="preserve">MCL 722.673(f) </w:t>
      </w:r>
    </w:p>
    <w:p w14:paraId="2F97A474"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kern w:val="0"/>
          <w14:ligatures w14:val="none"/>
        </w:rPr>
        <w:t xml:space="preserve">(5) 'considered as a whole, it lacks serious literary, artistic, political, educational, and scientific value for minors' as referenced in </w:t>
      </w:r>
      <w:r w:rsidRPr="004104A2">
        <w:rPr>
          <w:rFonts w:ascii="Calibri" w:eastAsia="Times New Roman" w:hAnsi="Calibri" w:cs="Calibri"/>
          <w:color w:val="0560BF"/>
          <w:kern w:val="0"/>
          <w14:ligatures w14:val="none"/>
        </w:rPr>
        <w:t xml:space="preserve">MCL 722.674(a)(iii) </w:t>
      </w:r>
      <w:r w:rsidRPr="004104A2">
        <w:rPr>
          <w:rFonts w:ascii="Calibri" w:eastAsia="Times New Roman" w:hAnsi="Calibri" w:cs="Calibri"/>
          <w:kern w:val="0"/>
          <w14:ligatures w14:val="none"/>
        </w:rPr>
        <w:t xml:space="preserve">means any 'sexually explicit matter' as laid out in </w:t>
      </w:r>
      <w:r w:rsidRPr="004104A2">
        <w:rPr>
          <w:rFonts w:ascii="Calibri" w:eastAsia="Times New Roman" w:hAnsi="Calibri" w:cs="Calibri"/>
          <w:color w:val="0560BF"/>
          <w:kern w:val="0"/>
          <w14:ligatures w14:val="none"/>
        </w:rPr>
        <w:t xml:space="preserve">MCL 722.673(f) </w:t>
      </w:r>
    </w:p>
    <w:p w14:paraId="678CCE54"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b/>
          <w:bCs/>
          <w:kern w:val="0"/>
          <w14:ligatures w14:val="none"/>
        </w:rPr>
        <w:t xml:space="preserve">Section III </w:t>
      </w:r>
      <w:r w:rsidRPr="004104A2">
        <w:rPr>
          <w:rFonts w:ascii="Calibri" w:eastAsia="Times New Roman" w:hAnsi="Calibri" w:cs="Calibri"/>
          <w:kern w:val="0"/>
          <w14:ligatures w14:val="none"/>
        </w:rPr>
        <w:t xml:space="preserve">exceptions </w:t>
      </w:r>
    </w:p>
    <w:p w14:paraId="1FD464B4"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kern w:val="0"/>
          <w14:ligatures w14:val="none"/>
        </w:rPr>
        <w:t xml:space="preserve">(6) 'sexually explicit matter' as described in </w:t>
      </w:r>
      <w:r w:rsidRPr="004104A2">
        <w:rPr>
          <w:rFonts w:ascii="Calibri" w:eastAsia="Times New Roman" w:hAnsi="Calibri" w:cs="Calibri"/>
          <w:color w:val="0560BF"/>
          <w:kern w:val="0"/>
          <w14:ligatures w14:val="none"/>
        </w:rPr>
        <w:t xml:space="preserve">MCL 722.674 </w:t>
      </w:r>
      <w:r w:rsidRPr="004104A2">
        <w:rPr>
          <w:rFonts w:ascii="Calibri" w:eastAsia="Times New Roman" w:hAnsi="Calibri" w:cs="Calibri"/>
          <w:kern w:val="0"/>
          <w14:ligatures w14:val="none"/>
        </w:rPr>
        <w:t xml:space="preserve">does not include (A) scientific text that is exclusively intended and arranged to teach biological reproduction that does not include any material that may be construed or arranged to contribute to a "Prurient interest" and (B) any ancient religious text </w:t>
      </w:r>
    </w:p>
    <w:p w14:paraId="45BB7F0B" w14:textId="31A5D6BD"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kern w:val="0"/>
          <w14:ligatures w14:val="none"/>
        </w:rPr>
        <w:t xml:space="preserve">(7) 'that complies with the revised school code, 1976 PA 451, MCL 380.1 to 380.1852' as reference in </w:t>
      </w:r>
      <w:r w:rsidRPr="004104A2">
        <w:rPr>
          <w:rFonts w:ascii="Calibri" w:eastAsia="Times New Roman" w:hAnsi="Calibri" w:cs="Calibri"/>
          <w:color w:val="0560BF"/>
          <w:kern w:val="0"/>
          <w14:ligatures w14:val="none"/>
        </w:rPr>
        <w:t xml:space="preserve">MCL 722.676 </w:t>
      </w:r>
      <w:r w:rsidRPr="004104A2">
        <w:rPr>
          <w:rFonts w:ascii="Calibri" w:eastAsia="Times New Roman" w:hAnsi="Calibri" w:cs="Calibri"/>
          <w:kern w:val="0"/>
          <w14:ligatures w14:val="none"/>
        </w:rPr>
        <w:t xml:space="preserve">means "that has in their possession and discloses upon request from </w:t>
      </w:r>
    </w:p>
    <w:p w14:paraId="4505957F"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kern w:val="0"/>
          <w14:ligatures w14:val="none"/>
        </w:rPr>
        <w:t xml:space="preserve">a time previous to the dissemination and ending at the conclusion of any action under </w:t>
      </w:r>
      <w:r w:rsidRPr="004104A2">
        <w:rPr>
          <w:rFonts w:ascii="Calibri" w:eastAsia="Times New Roman" w:hAnsi="Calibri" w:cs="Calibri"/>
          <w:color w:val="0560BF"/>
          <w:kern w:val="0"/>
          <w14:ligatures w14:val="none"/>
        </w:rPr>
        <w:t>MCL 722 Act 33 of 1978</w:t>
      </w:r>
      <w:r w:rsidRPr="004104A2">
        <w:rPr>
          <w:rFonts w:ascii="Calibri" w:eastAsia="Times New Roman" w:hAnsi="Calibri" w:cs="Calibri"/>
          <w:kern w:val="0"/>
          <w14:ligatures w14:val="none"/>
        </w:rPr>
        <w:t xml:space="preserve">, a notarized statement signed by each of the corresponding parents and guardians, each stating that the corresponding parents and guardians have reviewed the corresponding 'sexually explicit matter' and give permission for the dissemination" </w:t>
      </w:r>
    </w:p>
    <w:p w14:paraId="02451470"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b/>
          <w:bCs/>
          <w:kern w:val="0"/>
          <w14:ligatures w14:val="none"/>
        </w:rPr>
        <w:t xml:space="preserve">Section IV </w:t>
      </w:r>
      <w:r w:rsidRPr="004104A2">
        <w:rPr>
          <w:rFonts w:ascii="Calibri" w:eastAsia="Times New Roman" w:hAnsi="Calibri" w:cs="Calibri"/>
          <w:kern w:val="0"/>
          <w14:ligatures w14:val="none"/>
        </w:rPr>
        <w:t>enforcement</w:t>
      </w:r>
      <w:r w:rsidRPr="004104A2">
        <w:rPr>
          <w:rFonts w:ascii="Calibri" w:eastAsia="Times New Roman" w:hAnsi="Calibri" w:cs="Calibri"/>
          <w:kern w:val="0"/>
          <w14:ligatures w14:val="none"/>
        </w:rPr>
        <w:br/>
        <w:t xml:space="preserve">(8) Law enforcement is mandated to act under one or more of </w:t>
      </w:r>
      <w:r w:rsidRPr="004104A2">
        <w:rPr>
          <w:rFonts w:ascii="Calibri" w:eastAsia="Times New Roman" w:hAnsi="Calibri" w:cs="Calibri"/>
          <w:color w:val="0560BF"/>
          <w:kern w:val="0"/>
          <w14:ligatures w14:val="none"/>
        </w:rPr>
        <w:t>MCL 764.15(1)(a)</w:t>
      </w:r>
      <w:r w:rsidRPr="004104A2">
        <w:rPr>
          <w:rFonts w:ascii="Calibri" w:eastAsia="Times New Roman" w:hAnsi="Calibri" w:cs="Calibri"/>
          <w:kern w:val="0"/>
          <w14:ligatures w14:val="none"/>
        </w:rPr>
        <w:t xml:space="preserve">, </w:t>
      </w:r>
      <w:r w:rsidRPr="004104A2">
        <w:rPr>
          <w:rFonts w:ascii="Calibri" w:eastAsia="Times New Roman" w:hAnsi="Calibri" w:cs="Calibri"/>
          <w:color w:val="0560BF"/>
          <w:kern w:val="0"/>
          <w14:ligatures w14:val="none"/>
        </w:rPr>
        <w:t xml:space="preserve">MCL </w:t>
      </w:r>
    </w:p>
    <w:p w14:paraId="2F2DC45C"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color w:val="0560BF"/>
          <w:kern w:val="0"/>
          <w14:ligatures w14:val="none"/>
        </w:rPr>
        <w:t>764.15(1)(b)</w:t>
      </w:r>
      <w:r w:rsidRPr="004104A2">
        <w:rPr>
          <w:rFonts w:ascii="Calibri" w:eastAsia="Times New Roman" w:hAnsi="Calibri" w:cs="Calibri"/>
          <w:kern w:val="0"/>
          <w14:ligatures w14:val="none"/>
        </w:rPr>
        <w:t xml:space="preserve">, </w:t>
      </w:r>
      <w:r w:rsidRPr="004104A2">
        <w:rPr>
          <w:rFonts w:ascii="Calibri" w:eastAsia="Times New Roman" w:hAnsi="Calibri" w:cs="Calibri"/>
          <w:color w:val="0560BF"/>
          <w:kern w:val="0"/>
          <w14:ligatures w14:val="none"/>
        </w:rPr>
        <w:t>MCL 764.15(1)(c)</w:t>
      </w:r>
      <w:r w:rsidRPr="004104A2">
        <w:rPr>
          <w:rFonts w:ascii="Calibri" w:eastAsia="Times New Roman" w:hAnsi="Calibri" w:cs="Calibri"/>
          <w:kern w:val="0"/>
          <w14:ligatures w14:val="none"/>
        </w:rPr>
        <w:t xml:space="preserve">, and </w:t>
      </w:r>
      <w:r w:rsidRPr="004104A2">
        <w:rPr>
          <w:rFonts w:ascii="Calibri" w:eastAsia="Times New Roman" w:hAnsi="Calibri" w:cs="Calibri"/>
          <w:color w:val="0560BF"/>
          <w:kern w:val="0"/>
          <w14:ligatures w14:val="none"/>
        </w:rPr>
        <w:t>MCL 764.15(1)(n)</w:t>
      </w:r>
      <w:r w:rsidRPr="004104A2">
        <w:rPr>
          <w:rFonts w:ascii="Calibri" w:eastAsia="Times New Roman" w:hAnsi="Calibri" w:cs="Calibri"/>
          <w:kern w:val="0"/>
          <w14:ligatures w14:val="none"/>
        </w:rPr>
        <w:t xml:space="preserve">, upon breach of this ordinance. </w:t>
      </w:r>
    </w:p>
    <w:p w14:paraId="09D2D5B2"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b/>
          <w:bCs/>
          <w:kern w:val="0"/>
          <w14:ligatures w14:val="none"/>
        </w:rPr>
        <w:lastRenderedPageBreak/>
        <w:t xml:space="preserve">Section V </w:t>
      </w:r>
      <w:r w:rsidRPr="004104A2">
        <w:rPr>
          <w:rFonts w:ascii="Calibri" w:eastAsia="Times New Roman" w:hAnsi="Calibri" w:cs="Calibri"/>
          <w:kern w:val="0"/>
          <w14:ligatures w14:val="none"/>
        </w:rPr>
        <w:t xml:space="preserve">administration </w:t>
      </w:r>
    </w:p>
    <w:p w14:paraId="785CB0BA"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kern w:val="0"/>
          <w14:ligatures w14:val="none"/>
        </w:rPr>
        <w:t xml:space="preserve">(9) All employees or contractors, permanent or temporary, of any government or governmental related unit located at least in part in this county must within 30 days of the passing of this ordinance, within 30 days of becoming an employee or contractor, and every 365 days thereafter provide a notarized attestation to the county clerk that they have read and understood this ordinance such as to additionally satisfy each limitation relating to the term 'knowingly' found in </w:t>
      </w:r>
      <w:r w:rsidRPr="004104A2">
        <w:rPr>
          <w:rFonts w:ascii="Calibri" w:eastAsia="Times New Roman" w:hAnsi="Calibri" w:cs="Calibri"/>
          <w:color w:val="0560BF"/>
          <w:kern w:val="0"/>
          <w14:ligatures w14:val="none"/>
        </w:rPr>
        <w:t>MCL 722.675</w:t>
      </w:r>
      <w:r w:rsidRPr="004104A2">
        <w:rPr>
          <w:rFonts w:ascii="Calibri" w:eastAsia="Times New Roman" w:hAnsi="Calibri" w:cs="Calibri"/>
          <w:kern w:val="0"/>
          <w14:ligatures w14:val="none"/>
        </w:rPr>
        <w:t xml:space="preserve">. The county clerk to retain each provided attestation and alert law enforcement when any aforementioned employee or contractor is not in compliance. Any persons not in compliance with the attestation requirement is in breach of this ordinance. </w:t>
      </w:r>
    </w:p>
    <w:p w14:paraId="16F4D013"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b/>
          <w:bCs/>
          <w:kern w:val="0"/>
          <w14:ligatures w14:val="none"/>
        </w:rPr>
        <w:t xml:space="preserve">Applicable Law </w:t>
      </w:r>
    </w:p>
    <w:p w14:paraId="48DF3029"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kern w:val="0"/>
          <w14:ligatures w14:val="none"/>
        </w:rPr>
        <w:t xml:space="preserve">1. </w:t>
      </w:r>
      <w:r w:rsidRPr="004104A2">
        <w:rPr>
          <w:rFonts w:ascii="Calibri" w:eastAsia="Times New Roman" w:hAnsi="Calibri" w:cs="Calibri"/>
          <w:color w:val="0560BF"/>
          <w:kern w:val="0"/>
          <w14:ligatures w14:val="none"/>
        </w:rPr>
        <w:t xml:space="preserve">MCL 722 Act 33 of 1978 </w:t>
      </w:r>
      <w:r w:rsidRPr="004104A2">
        <w:rPr>
          <w:rFonts w:ascii="Calibri" w:eastAsia="Times New Roman" w:hAnsi="Calibri" w:cs="Calibri"/>
          <w:kern w:val="0"/>
          <w14:ligatures w14:val="none"/>
        </w:rPr>
        <w:t xml:space="preserve">prohibits the dissemination of sexually explicit matter to minors 2. </w:t>
      </w:r>
      <w:r w:rsidRPr="004104A2">
        <w:rPr>
          <w:rFonts w:ascii="Calibri" w:eastAsia="Times New Roman" w:hAnsi="Calibri" w:cs="Calibri"/>
          <w:color w:val="0560BF"/>
          <w:kern w:val="0"/>
          <w14:ligatures w14:val="none"/>
        </w:rPr>
        <w:t xml:space="preserve">MCL 722.673(f) </w:t>
      </w:r>
      <w:r w:rsidRPr="004104A2">
        <w:rPr>
          <w:rFonts w:ascii="Calibri" w:eastAsia="Times New Roman" w:hAnsi="Calibri" w:cs="Calibri"/>
          <w:kern w:val="0"/>
          <w14:ligatures w14:val="none"/>
        </w:rPr>
        <w:t xml:space="preserve">'sexually explicit matter' means sexually explicit </w:t>
      </w:r>
      <w:r w:rsidRPr="004104A2">
        <w:rPr>
          <w:rFonts w:ascii="Calibri" w:eastAsia="Times New Roman" w:hAnsi="Calibri" w:cs="Calibri"/>
          <w:b/>
          <w:bCs/>
          <w:kern w:val="0"/>
          <w14:ligatures w14:val="none"/>
        </w:rPr>
        <w:t xml:space="preserve">visual </w:t>
      </w:r>
      <w:r w:rsidRPr="004104A2">
        <w:rPr>
          <w:rFonts w:ascii="Calibri" w:eastAsia="Times New Roman" w:hAnsi="Calibri" w:cs="Calibri"/>
          <w:kern w:val="0"/>
          <w14:ligatures w14:val="none"/>
        </w:rPr>
        <w:t xml:space="preserve">material, sexually </w:t>
      </w:r>
    </w:p>
    <w:p w14:paraId="354764C5"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kern w:val="0"/>
          <w14:ligatures w14:val="none"/>
        </w:rPr>
        <w:t xml:space="preserve">explicit </w:t>
      </w:r>
      <w:r w:rsidRPr="004104A2">
        <w:rPr>
          <w:rFonts w:ascii="Calibri" w:eastAsia="Times New Roman" w:hAnsi="Calibri" w:cs="Calibri"/>
          <w:b/>
          <w:bCs/>
          <w:kern w:val="0"/>
          <w14:ligatures w14:val="none"/>
        </w:rPr>
        <w:t xml:space="preserve">verbal </w:t>
      </w:r>
      <w:r w:rsidRPr="004104A2">
        <w:rPr>
          <w:rFonts w:ascii="Calibri" w:eastAsia="Times New Roman" w:hAnsi="Calibri" w:cs="Calibri"/>
          <w:kern w:val="0"/>
          <w14:ligatures w14:val="none"/>
        </w:rPr>
        <w:t xml:space="preserve">material, or sexually explicit </w:t>
      </w:r>
      <w:r w:rsidRPr="004104A2">
        <w:rPr>
          <w:rFonts w:ascii="Calibri" w:eastAsia="Times New Roman" w:hAnsi="Calibri" w:cs="Calibri"/>
          <w:b/>
          <w:bCs/>
          <w:kern w:val="0"/>
          <w14:ligatures w14:val="none"/>
        </w:rPr>
        <w:t>performance</w:t>
      </w:r>
      <w:r w:rsidRPr="004104A2">
        <w:rPr>
          <w:rFonts w:ascii="Calibri" w:eastAsia="Times New Roman" w:hAnsi="Calibri" w:cs="Calibri"/>
          <w:kern w:val="0"/>
          <w14:ligatures w14:val="none"/>
        </w:rPr>
        <w:t xml:space="preserve">. </w:t>
      </w:r>
    </w:p>
    <w:p w14:paraId="0EF1A52C"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kern w:val="0"/>
          <w14:ligatures w14:val="none"/>
        </w:rPr>
        <w:t xml:space="preserve">3. </w:t>
      </w:r>
      <w:r w:rsidRPr="004104A2">
        <w:rPr>
          <w:rFonts w:ascii="Calibri" w:eastAsia="Times New Roman" w:hAnsi="Calibri" w:cs="Calibri"/>
          <w:color w:val="0560BF"/>
          <w:kern w:val="0"/>
          <w14:ligatures w14:val="none"/>
        </w:rPr>
        <w:t xml:space="preserve">MCL 722.673(g) </w:t>
      </w:r>
      <w:r w:rsidRPr="004104A2">
        <w:rPr>
          <w:rFonts w:ascii="Calibri" w:eastAsia="Times New Roman" w:hAnsi="Calibri" w:cs="Calibri"/>
          <w:kern w:val="0"/>
          <w14:ligatures w14:val="none"/>
        </w:rPr>
        <w:t xml:space="preserve">'sexually explicit performance' </w:t>
      </w:r>
      <w:r w:rsidRPr="004104A2">
        <w:rPr>
          <w:rFonts w:ascii="Calibri" w:eastAsia="Times New Roman" w:hAnsi="Calibri" w:cs="Calibri"/>
          <w:b/>
          <w:bCs/>
          <w:kern w:val="0"/>
          <w14:ligatures w14:val="none"/>
        </w:rPr>
        <w:t xml:space="preserve">means a </w:t>
      </w:r>
      <w:r w:rsidRPr="004104A2">
        <w:rPr>
          <w:rFonts w:ascii="Calibri" w:eastAsia="Times New Roman" w:hAnsi="Calibri" w:cs="Calibri"/>
          <w:kern w:val="0"/>
          <w14:ligatures w14:val="none"/>
        </w:rPr>
        <w:t xml:space="preserve">motion picture, video game, exhibition, show, </w:t>
      </w:r>
      <w:r w:rsidRPr="004104A2">
        <w:rPr>
          <w:rFonts w:ascii="Calibri" w:eastAsia="Times New Roman" w:hAnsi="Calibri" w:cs="Calibri"/>
          <w:b/>
          <w:bCs/>
          <w:kern w:val="0"/>
          <w14:ligatures w14:val="none"/>
        </w:rPr>
        <w:t>representation, or other presentation that, in whole or in part</w:t>
      </w:r>
      <w:r w:rsidRPr="004104A2">
        <w:rPr>
          <w:rFonts w:ascii="Calibri" w:eastAsia="Times New Roman" w:hAnsi="Calibri" w:cs="Calibri"/>
          <w:kern w:val="0"/>
          <w14:ligatures w14:val="none"/>
        </w:rPr>
        <w:t xml:space="preserve">, depicts nudity, </w:t>
      </w:r>
      <w:r w:rsidRPr="004104A2">
        <w:rPr>
          <w:rFonts w:ascii="Calibri" w:eastAsia="Times New Roman" w:hAnsi="Calibri" w:cs="Calibri"/>
          <w:b/>
          <w:bCs/>
          <w:kern w:val="0"/>
          <w14:ligatures w14:val="none"/>
        </w:rPr>
        <w:t>sexual excitement</w:t>
      </w:r>
      <w:r w:rsidRPr="004104A2">
        <w:rPr>
          <w:rFonts w:ascii="Calibri" w:eastAsia="Times New Roman" w:hAnsi="Calibri" w:cs="Calibri"/>
          <w:kern w:val="0"/>
          <w14:ligatures w14:val="none"/>
        </w:rPr>
        <w:t xml:space="preserve">, erotic fondling, </w:t>
      </w:r>
      <w:r w:rsidRPr="004104A2">
        <w:rPr>
          <w:rFonts w:ascii="Calibri" w:eastAsia="Times New Roman" w:hAnsi="Calibri" w:cs="Calibri"/>
          <w:b/>
          <w:bCs/>
          <w:kern w:val="0"/>
          <w14:ligatures w14:val="none"/>
        </w:rPr>
        <w:t>sexual intercourse</w:t>
      </w:r>
      <w:r w:rsidRPr="004104A2">
        <w:rPr>
          <w:rFonts w:ascii="Calibri" w:eastAsia="Times New Roman" w:hAnsi="Calibri" w:cs="Calibri"/>
          <w:kern w:val="0"/>
          <w14:ligatures w14:val="none"/>
        </w:rPr>
        <w:t xml:space="preserve">, or sadomasochistic abuse. </w:t>
      </w:r>
    </w:p>
    <w:p w14:paraId="4123761B" w14:textId="7CAF191A"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kern w:val="0"/>
          <w14:ligatures w14:val="none"/>
        </w:rPr>
        <w:t xml:space="preserve">4. </w:t>
      </w:r>
      <w:r w:rsidRPr="004104A2">
        <w:rPr>
          <w:rFonts w:ascii="Calibri" w:eastAsia="Times New Roman" w:hAnsi="Calibri" w:cs="Calibri"/>
          <w:color w:val="0560BF"/>
          <w:kern w:val="0"/>
          <w14:ligatures w14:val="none"/>
        </w:rPr>
        <w:t xml:space="preserve">MCL 722.673(h) </w:t>
      </w:r>
      <w:r w:rsidRPr="004104A2">
        <w:rPr>
          <w:rFonts w:ascii="Calibri" w:eastAsia="Times New Roman" w:hAnsi="Calibri" w:cs="Calibri"/>
          <w:kern w:val="0"/>
          <w14:ligatures w14:val="none"/>
        </w:rPr>
        <w:t xml:space="preserve">'sexually explicit verbal material' </w:t>
      </w:r>
      <w:r w:rsidRPr="004104A2">
        <w:rPr>
          <w:rFonts w:ascii="Calibri" w:eastAsia="Times New Roman" w:hAnsi="Calibri" w:cs="Calibri"/>
          <w:b/>
          <w:bCs/>
          <w:kern w:val="0"/>
          <w14:ligatures w14:val="none"/>
        </w:rPr>
        <w:t xml:space="preserve">means </w:t>
      </w:r>
      <w:r w:rsidRPr="004104A2">
        <w:rPr>
          <w:rFonts w:ascii="Calibri" w:eastAsia="Times New Roman" w:hAnsi="Calibri" w:cs="Calibri"/>
          <w:kern w:val="0"/>
          <w14:ligatures w14:val="none"/>
        </w:rPr>
        <w:t xml:space="preserve">a book, pamphlet, magazine, </w:t>
      </w:r>
      <w:r w:rsidRPr="004104A2">
        <w:rPr>
          <w:rFonts w:ascii="Calibri" w:eastAsia="Times New Roman" w:hAnsi="Calibri" w:cs="Calibri"/>
          <w:b/>
          <w:bCs/>
          <w:kern w:val="0"/>
          <w14:ligatures w14:val="none"/>
        </w:rPr>
        <w:t xml:space="preserve">printed matter </w:t>
      </w:r>
      <w:r w:rsidRPr="004104A2">
        <w:rPr>
          <w:rFonts w:ascii="Calibri" w:eastAsia="Times New Roman" w:hAnsi="Calibri" w:cs="Calibri"/>
          <w:kern w:val="0"/>
          <w14:ligatures w14:val="none"/>
        </w:rPr>
        <w:t xml:space="preserve">reproduced in any manner, or sound recording </w:t>
      </w:r>
      <w:r w:rsidRPr="004104A2">
        <w:rPr>
          <w:rFonts w:ascii="Calibri" w:eastAsia="Times New Roman" w:hAnsi="Calibri" w:cs="Calibri"/>
          <w:b/>
          <w:bCs/>
          <w:kern w:val="0"/>
          <w14:ligatures w14:val="none"/>
        </w:rPr>
        <w:t xml:space="preserve">that contains an explicit and detailed </w:t>
      </w:r>
      <w:r w:rsidRPr="004104A2">
        <w:rPr>
          <w:rFonts w:ascii="Calibri" w:eastAsia="Times New Roman" w:hAnsi="Calibri" w:cs="Calibri"/>
          <w:kern w:val="0"/>
          <w14:ligatures w14:val="none"/>
        </w:rPr>
        <w:t xml:space="preserve">verbal description or </w:t>
      </w:r>
      <w:r w:rsidRPr="004104A2">
        <w:rPr>
          <w:rFonts w:ascii="Calibri" w:eastAsia="Times New Roman" w:hAnsi="Calibri" w:cs="Calibri"/>
          <w:b/>
          <w:bCs/>
          <w:kern w:val="0"/>
          <w14:ligatures w14:val="none"/>
        </w:rPr>
        <w:t xml:space="preserve">narrative account of sexual excitement, </w:t>
      </w:r>
      <w:r w:rsidRPr="004104A2">
        <w:rPr>
          <w:rFonts w:ascii="Calibri" w:eastAsia="Times New Roman" w:hAnsi="Calibri" w:cs="Calibri"/>
          <w:kern w:val="0"/>
          <w14:ligatures w14:val="none"/>
        </w:rPr>
        <w:t xml:space="preserve">erotic fondling, </w:t>
      </w:r>
      <w:r w:rsidRPr="004104A2">
        <w:rPr>
          <w:rFonts w:ascii="Calibri" w:eastAsia="Times New Roman" w:hAnsi="Calibri" w:cs="Calibri"/>
          <w:b/>
          <w:bCs/>
          <w:kern w:val="0"/>
          <w14:ligatures w14:val="none"/>
        </w:rPr>
        <w:t>sexual</w:t>
      </w:r>
      <w:r>
        <w:rPr>
          <w:rFonts w:ascii="Times New Roman" w:eastAsia="Times New Roman" w:hAnsi="Times New Roman" w:cs="Times New Roman"/>
          <w:kern w:val="0"/>
          <w14:ligatures w14:val="none"/>
        </w:rPr>
        <w:t xml:space="preserve"> </w:t>
      </w:r>
      <w:r w:rsidRPr="004104A2">
        <w:rPr>
          <w:rFonts w:ascii="Calibri" w:eastAsia="Times New Roman" w:hAnsi="Calibri" w:cs="Calibri"/>
          <w:b/>
          <w:bCs/>
          <w:kern w:val="0"/>
          <w14:ligatures w14:val="none"/>
        </w:rPr>
        <w:t xml:space="preserve">intercourse, </w:t>
      </w:r>
      <w:r w:rsidRPr="004104A2">
        <w:rPr>
          <w:rFonts w:ascii="Calibri" w:eastAsia="Times New Roman" w:hAnsi="Calibri" w:cs="Calibri"/>
          <w:kern w:val="0"/>
          <w14:ligatures w14:val="none"/>
        </w:rPr>
        <w:t xml:space="preserve">or sadomasochistic abuse. </w:t>
      </w:r>
    </w:p>
    <w:p w14:paraId="0876C680"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kern w:val="0"/>
          <w14:ligatures w14:val="none"/>
        </w:rPr>
        <w:t xml:space="preserve">5. </w:t>
      </w:r>
      <w:r w:rsidRPr="004104A2">
        <w:rPr>
          <w:rFonts w:ascii="Calibri" w:eastAsia="Times New Roman" w:hAnsi="Calibri" w:cs="Calibri"/>
          <w:color w:val="0560BF"/>
          <w:kern w:val="0"/>
          <w14:ligatures w14:val="none"/>
        </w:rPr>
        <w:t xml:space="preserve">MCL 722.673(i) </w:t>
      </w:r>
      <w:r w:rsidRPr="004104A2">
        <w:rPr>
          <w:rFonts w:ascii="Calibri" w:eastAsia="Times New Roman" w:hAnsi="Calibri" w:cs="Calibri"/>
          <w:kern w:val="0"/>
          <w14:ligatures w14:val="none"/>
        </w:rPr>
        <w:t xml:space="preserve">Statutory definition of 'sexually explicit visual material' </w:t>
      </w:r>
      <w:r w:rsidRPr="004104A2">
        <w:rPr>
          <w:rFonts w:ascii="Calibri" w:eastAsia="Times New Roman" w:hAnsi="Calibri" w:cs="Calibri"/>
          <w:b/>
          <w:bCs/>
          <w:kern w:val="0"/>
          <w14:ligatures w14:val="none"/>
        </w:rPr>
        <w:t xml:space="preserve">means </w:t>
      </w:r>
      <w:r w:rsidRPr="004104A2">
        <w:rPr>
          <w:rFonts w:ascii="Calibri" w:eastAsia="Times New Roman" w:hAnsi="Calibri" w:cs="Calibri"/>
          <w:kern w:val="0"/>
          <w14:ligatures w14:val="none"/>
        </w:rPr>
        <w:t xml:space="preserve">a picture, photograph, drawing, sculpture, motion picture film, video game, or </w:t>
      </w:r>
      <w:r w:rsidRPr="004104A2">
        <w:rPr>
          <w:rFonts w:ascii="Calibri" w:eastAsia="Times New Roman" w:hAnsi="Calibri" w:cs="Calibri"/>
          <w:b/>
          <w:bCs/>
          <w:kern w:val="0"/>
          <w14:ligatures w14:val="none"/>
        </w:rPr>
        <w:t xml:space="preserve">similar visual representation </w:t>
      </w:r>
      <w:r w:rsidRPr="004104A2">
        <w:rPr>
          <w:rFonts w:ascii="Calibri" w:eastAsia="Times New Roman" w:hAnsi="Calibri" w:cs="Calibri"/>
          <w:kern w:val="0"/>
          <w14:ligatures w14:val="none"/>
        </w:rPr>
        <w:t xml:space="preserve">that depicts nudity, </w:t>
      </w:r>
      <w:r w:rsidRPr="004104A2">
        <w:rPr>
          <w:rFonts w:ascii="Calibri" w:eastAsia="Times New Roman" w:hAnsi="Calibri" w:cs="Calibri"/>
          <w:b/>
          <w:bCs/>
          <w:kern w:val="0"/>
          <w14:ligatures w14:val="none"/>
        </w:rPr>
        <w:t>sexual excitement</w:t>
      </w:r>
      <w:r w:rsidRPr="004104A2">
        <w:rPr>
          <w:rFonts w:ascii="Calibri" w:eastAsia="Times New Roman" w:hAnsi="Calibri" w:cs="Calibri"/>
          <w:kern w:val="0"/>
          <w14:ligatures w14:val="none"/>
        </w:rPr>
        <w:t xml:space="preserve">, erotic fondling, </w:t>
      </w:r>
      <w:r w:rsidRPr="004104A2">
        <w:rPr>
          <w:rFonts w:ascii="Calibri" w:eastAsia="Times New Roman" w:hAnsi="Calibri" w:cs="Calibri"/>
          <w:b/>
          <w:bCs/>
          <w:kern w:val="0"/>
          <w14:ligatures w14:val="none"/>
        </w:rPr>
        <w:t>sexual intercourse</w:t>
      </w:r>
      <w:r w:rsidRPr="004104A2">
        <w:rPr>
          <w:rFonts w:ascii="Calibri" w:eastAsia="Times New Roman" w:hAnsi="Calibri" w:cs="Calibri"/>
          <w:kern w:val="0"/>
          <w14:ligatures w14:val="none"/>
        </w:rPr>
        <w:t xml:space="preserve">, or sadomasochistic abuse, or </w:t>
      </w:r>
      <w:r w:rsidRPr="004104A2">
        <w:rPr>
          <w:rFonts w:ascii="Calibri" w:eastAsia="Times New Roman" w:hAnsi="Calibri" w:cs="Calibri"/>
          <w:b/>
          <w:bCs/>
          <w:kern w:val="0"/>
          <w14:ligatures w14:val="none"/>
        </w:rPr>
        <w:t>a book</w:t>
      </w:r>
      <w:r w:rsidRPr="004104A2">
        <w:rPr>
          <w:rFonts w:ascii="Calibri" w:eastAsia="Times New Roman" w:hAnsi="Calibri" w:cs="Calibri"/>
          <w:kern w:val="0"/>
          <w14:ligatures w14:val="none"/>
        </w:rPr>
        <w:t xml:space="preserve">, magazine, or pamphlet </w:t>
      </w:r>
      <w:r w:rsidRPr="004104A2">
        <w:rPr>
          <w:rFonts w:ascii="Calibri" w:eastAsia="Times New Roman" w:hAnsi="Calibri" w:cs="Calibri"/>
          <w:b/>
          <w:bCs/>
          <w:kern w:val="0"/>
          <w14:ligatures w14:val="none"/>
        </w:rPr>
        <w:t>that contains such a visual representation</w:t>
      </w:r>
      <w:r w:rsidRPr="004104A2">
        <w:rPr>
          <w:rFonts w:ascii="Calibri" w:eastAsia="Times New Roman" w:hAnsi="Calibri" w:cs="Calibri"/>
          <w:kern w:val="0"/>
          <w14:ligatures w14:val="none"/>
        </w:rPr>
        <w:t xml:space="preserve">. </w:t>
      </w:r>
    </w:p>
    <w:p w14:paraId="4FA9C410"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kern w:val="0"/>
          <w14:ligatures w14:val="none"/>
        </w:rPr>
        <w:t xml:space="preserve">6. </w:t>
      </w:r>
      <w:r w:rsidRPr="004104A2">
        <w:rPr>
          <w:rFonts w:ascii="Calibri" w:eastAsia="Times New Roman" w:hAnsi="Calibri" w:cs="Calibri"/>
          <w:color w:val="0560BF"/>
          <w:kern w:val="0"/>
          <w14:ligatures w14:val="none"/>
        </w:rPr>
        <w:t xml:space="preserve">MCL 722.675(1) </w:t>
      </w:r>
      <w:r w:rsidRPr="004104A2">
        <w:rPr>
          <w:rFonts w:ascii="Calibri" w:eastAsia="Times New Roman" w:hAnsi="Calibri" w:cs="Calibri"/>
          <w:kern w:val="0"/>
          <w14:ligatures w14:val="none"/>
        </w:rPr>
        <w:t xml:space="preserve">Felony Acts (a) and (b) for disseminating sexually explicit matter to minors </w:t>
      </w:r>
    </w:p>
    <w:p w14:paraId="3ED3700E"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kern w:val="0"/>
          <w14:ligatures w14:val="none"/>
        </w:rPr>
        <w:t xml:space="preserve">7. </w:t>
      </w:r>
      <w:r w:rsidRPr="004104A2">
        <w:rPr>
          <w:rFonts w:ascii="Calibri" w:eastAsia="Times New Roman" w:hAnsi="Calibri" w:cs="Calibri"/>
          <w:color w:val="0560BF"/>
          <w:kern w:val="0"/>
          <w14:ligatures w14:val="none"/>
        </w:rPr>
        <w:t xml:space="preserve">MCL 722.674(a) </w:t>
      </w:r>
      <w:r w:rsidRPr="004104A2">
        <w:rPr>
          <w:rFonts w:ascii="Calibri" w:eastAsia="Times New Roman" w:hAnsi="Calibri" w:cs="Calibri"/>
          <w:kern w:val="0"/>
          <w14:ligatures w14:val="none"/>
        </w:rPr>
        <w:t xml:space="preserve">'harmful to minors' 3 part test (i), (ii), and (iii) for criminality 8. </w:t>
      </w:r>
      <w:r w:rsidRPr="004104A2">
        <w:rPr>
          <w:rFonts w:ascii="Calibri" w:eastAsia="Times New Roman" w:hAnsi="Calibri" w:cs="Calibri"/>
          <w:color w:val="0560BF"/>
          <w:kern w:val="0"/>
          <w14:ligatures w14:val="none"/>
        </w:rPr>
        <w:t xml:space="preserve">MCL </w:t>
      </w:r>
    </w:p>
    <w:p w14:paraId="507EA58C"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color w:val="0560BF"/>
          <w:kern w:val="0"/>
          <w14:ligatures w14:val="none"/>
        </w:rPr>
        <w:t xml:space="preserve">722.674(b) </w:t>
      </w:r>
      <w:r w:rsidRPr="004104A2">
        <w:rPr>
          <w:rFonts w:ascii="Calibri" w:eastAsia="Times New Roman" w:hAnsi="Calibri" w:cs="Calibri"/>
          <w:kern w:val="0"/>
          <w14:ligatures w14:val="none"/>
        </w:rPr>
        <w:t xml:space="preserve">'Local community' means the county in which the matter was disseminated </w:t>
      </w:r>
    </w:p>
    <w:p w14:paraId="25A1CB3F"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kern w:val="0"/>
          <w14:ligatures w14:val="none"/>
        </w:rPr>
        <w:t xml:space="preserve">9. </w:t>
      </w:r>
      <w:r w:rsidRPr="004104A2">
        <w:rPr>
          <w:rFonts w:ascii="Calibri" w:eastAsia="Times New Roman" w:hAnsi="Calibri" w:cs="Calibri"/>
          <w:color w:val="0560BF"/>
          <w:kern w:val="0"/>
          <w14:ligatures w14:val="none"/>
        </w:rPr>
        <w:t xml:space="preserve">MCL 722.674(c) </w:t>
      </w:r>
      <w:r w:rsidRPr="004104A2">
        <w:rPr>
          <w:rFonts w:ascii="Calibri" w:eastAsia="Times New Roman" w:hAnsi="Calibri" w:cs="Calibri"/>
          <w:kern w:val="0"/>
          <w14:ligatures w14:val="none"/>
        </w:rPr>
        <w:t xml:space="preserve">'Prurient interest' means a lustful interest in sexual stimulation or gratification with respect to the determined interest of a 17 year old minor. </w:t>
      </w:r>
    </w:p>
    <w:p w14:paraId="4AFEEC21"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kern w:val="0"/>
          <w14:ligatures w14:val="none"/>
        </w:rPr>
        <w:t xml:space="preserve">10. </w:t>
      </w:r>
      <w:r w:rsidRPr="004104A2">
        <w:rPr>
          <w:rFonts w:ascii="Calibri" w:eastAsia="Times New Roman" w:hAnsi="Calibri" w:cs="Calibri"/>
          <w:color w:val="0560BF"/>
          <w:kern w:val="0"/>
          <w14:ligatures w14:val="none"/>
        </w:rPr>
        <w:t>MCL 722.676(b</w:t>
      </w:r>
      <w:r w:rsidRPr="004104A2">
        <w:rPr>
          <w:rFonts w:ascii="Calibri" w:eastAsia="Times New Roman" w:hAnsi="Calibri" w:cs="Calibri"/>
          <w:kern w:val="0"/>
          <w14:ligatures w14:val="none"/>
        </w:rPr>
        <w:t xml:space="preserve">) persons excluded include a school official in compliance with MCL 380.1- MCL 380.1852 </w:t>
      </w:r>
    </w:p>
    <w:p w14:paraId="30B58954"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kern w:val="0"/>
          <w14:ligatures w14:val="none"/>
        </w:rPr>
        <w:lastRenderedPageBreak/>
        <w:t xml:space="preserve">11. </w:t>
      </w:r>
      <w:r w:rsidRPr="004104A2">
        <w:rPr>
          <w:rFonts w:ascii="Calibri" w:eastAsia="Times New Roman" w:hAnsi="Calibri" w:cs="Calibri"/>
          <w:color w:val="0560BF"/>
          <w:kern w:val="0"/>
          <w14:ligatures w14:val="none"/>
        </w:rPr>
        <w:t xml:space="preserve">MCL 380.10 </w:t>
      </w:r>
      <w:r w:rsidRPr="004104A2">
        <w:rPr>
          <w:rFonts w:ascii="Calibri" w:eastAsia="Times New Roman" w:hAnsi="Calibri" w:cs="Calibri"/>
          <w:kern w:val="0"/>
          <w14:ligatures w14:val="none"/>
        </w:rPr>
        <w:t xml:space="preserve">it is the fundamental right of a parent to determine and direct the care, teaching, and education of their child. The public schools of this state serve the needs of the pupils by cooperating with the pupils' parents. </w:t>
      </w:r>
    </w:p>
    <w:p w14:paraId="3F621F1A" w14:textId="77777777" w:rsidR="004104A2" w:rsidRPr="004104A2" w:rsidRDefault="004104A2" w:rsidP="004104A2">
      <w:pPr>
        <w:spacing w:before="100" w:beforeAutospacing="1" w:after="100" w:afterAutospacing="1"/>
        <w:rPr>
          <w:rFonts w:ascii="Times New Roman" w:eastAsia="Times New Roman" w:hAnsi="Times New Roman" w:cs="Times New Roman"/>
          <w:kern w:val="0"/>
          <w14:ligatures w14:val="none"/>
        </w:rPr>
      </w:pPr>
      <w:r w:rsidRPr="004104A2">
        <w:rPr>
          <w:rFonts w:ascii="Calibri" w:eastAsia="Times New Roman" w:hAnsi="Calibri" w:cs="Calibri"/>
          <w:kern w:val="0"/>
          <w14:ligatures w14:val="none"/>
        </w:rPr>
        <w:t xml:space="preserve">12. </w:t>
      </w:r>
      <w:r w:rsidRPr="004104A2">
        <w:rPr>
          <w:rFonts w:ascii="Calibri" w:eastAsia="Times New Roman" w:hAnsi="Calibri" w:cs="Calibri"/>
          <w:color w:val="0560BF"/>
          <w:kern w:val="0"/>
          <w14:ligatures w14:val="none"/>
        </w:rPr>
        <w:t xml:space="preserve">MCL 764.15 </w:t>
      </w:r>
      <w:r w:rsidRPr="004104A2">
        <w:rPr>
          <w:rFonts w:ascii="Calibri" w:eastAsia="Times New Roman" w:hAnsi="Calibri" w:cs="Calibri"/>
          <w:kern w:val="0"/>
          <w14:ligatures w14:val="none"/>
        </w:rPr>
        <w:t xml:space="preserve">arrest by an officer without a warrant </w:t>
      </w:r>
    </w:p>
    <w:p w14:paraId="66DBD3A9" w14:textId="57D7DA1D" w:rsidR="003238CA" w:rsidRPr="004104A2" w:rsidRDefault="00000000">
      <w:pPr>
        <w:rPr>
          <w:rFonts w:ascii="Times New Roman" w:eastAsia="Times New Roman" w:hAnsi="Times New Roman" w:cs="Times New Roman"/>
          <w:kern w:val="0"/>
          <w14:ligatures w14:val="none"/>
        </w:rPr>
      </w:pPr>
    </w:p>
    <w:sectPr w:rsidR="003238CA" w:rsidRPr="00410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A2"/>
    <w:rsid w:val="00121666"/>
    <w:rsid w:val="004104A2"/>
    <w:rsid w:val="006A5423"/>
    <w:rsid w:val="0097223B"/>
    <w:rsid w:val="00D5377E"/>
    <w:rsid w:val="00DF551E"/>
    <w:rsid w:val="00FD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322EBE"/>
  <w15:chartTrackingRefBased/>
  <w15:docId w15:val="{771BBC40-289E-DA4D-B07E-E90DB3F0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4A2"/>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726568">
      <w:bodyDiv w:val="1"/>
      <w:marLeft w:val="0"/>
      <w:marRight w:val="0"/>
      <w:marTop w:val="0"/>
      <w:marBottom w:val="0"/>
      <w:divBdr>
        <w:top w:val="none" w:sz="0" w:space="0" w:color="auto"/>
        <w:left w:val="none" w:sz="0" w:space="0" w:color="auto"/>
        <w:bottom w:val="none" w:sz="0" w:space="0" w:color="auto"/>
        <w:right w:val="none" w:sz="0" w:space="0" w:color="auto"/>
      </w:divBdr>
      <w:divsChild>
        <w:div w:id="676152602">
          <w:marLeft w:val="0"/>
          <w:marRight w:val="0"/>
          <w:marTop w:val="0"/>
          <w:marBottom w:val="0"/>
          <w:divBdr>
            <w:top w:val="none" w:sz="0" w:space="0" w:color="auto"/>
            <w:left w:val="none" w:sz="0" w:space="0" w:color="auto"/>
            <w:bottom w:val="none" w:sz="0" w:space="0" w:color="auto"/>
            <w:right w:val="none" w:sz="0" w:space="0" w:color="auto"/>
          </w:divBdr>
          <w:divsChild>
            <w:div w:id="2023973048">
              <w:marLeft w:val="0"/>
              <w:marRight w:val="0"/>
              <w:marTop w:val="0"/>
              <w:marBottom w:val="0"/>
              <w:divBdr>
                <w:top w:val="none" w:sz="0" w:space="0" w:color="auto"/>
                <w:left w:val="none" w:sz="0" w:space="0" w:color="auto"/>
                <w:bottom w:val="none" w:sz="0" w:space="0" w:color="auto"/>
                <w:right w:val="none" w:sz="0" w:space="0" w:color="auto"/>
              </w:divBdr>
              <w:divsChild>
                <w:div w:id="20314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6726">
          <w:marLeft w:val="0"/>
          <w:marRight w:val="0"/>
          <w:marTop w:val="0"/>
          <w:marBottom w:val="0"/>
          <w:divBdr>
            <w:top w:val="none" w:sz="0" w:space="0" w:color="auto"/>
            <w:left w:val="none" w:sz="0" w:space="0" w:color="auto"/>
            <w:bottom w:val="none" w:sz="0" w:space="0" w:color="auto"/>
            <w:right w:val="none" w:sz="0" w:space="0" w:color="auto"/>
          </w:divBdr>
          <w:divsChild>
            <w:div w:id="1783648267">
              <w:marLeft w:val="0"/>
              <w:marRight w:val="0"/>
              <w:marTop w:val="0"/>
              <w:marBottom w:val="0"/>
              <w:divBdr>
                <w:top w:val="none" w:sz="0" w:space="0" w:color="auto"/>
                <w:left w:val="none" w:sz="0" w:space="0" w:color="auto"/>
                <w:bottom w:val="none" w:sz="0" w:space="0" w:color="auto"/>
                <w:right w:val="none" w:sz="0" w:space="0" w:color="auto"/>
              </w:divBdr>
              <w:divsChild>
                <w:div w:id="165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4010">
          <w:marLeft w:val="0"/>
          <w:marRight w:val="0"/>
          <w:marTop w:val="0"/>
          <w:marBottom w:val="0"/>
          <w:divBdr>
            <w:top w:val="none" w:sz="0" w:space="0" w:color="auto"/>
            <w:left w:val="none" w:sz="0" w:space="0" w:color="auto"/>
            <w:bottom w:val="none" w:sz="0" w:space="0" w:color="auto"/>
            <w:right w:val="none" w:sz="0" w:space="0" w:color="auto"/>
          </w:divBdr>
          <w:divsChild>
            <w:div w:id="646208342">
              <w:marLeft w:val="0"/>
              <w:marRight w:val="0"/>
              <w:marTop w:val="0"/>
              <w:marBottom w:val="0"/>
              <w:divBdr>
                <w:top w:val="none" w:sz="0" w:space="0" w:color="auto"/>
                <w:left w:val="none" w:sz="0" w:space="0" w:color="auto"/>
                <w:bottom w:val="none" w:sz="0" w:space="0" w:color="auto"/>
                <w:right w:val="none" w:sz="0" w:space="0" w:color="auto"/>
              </w:divBdr>
              <w:divsChild>
                <w:div w:id="2578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05683">
          <w:marLeft w:val="0"/>
          <w:marRight w:val="0"/>
          <w:marTop w:val="0"/>
          <w:marBottom w:val="0"/>
          <w:divBdr>
            <w:top w:val="none" w:sz="0" w:space="0" w:color="auto"/>
            <w:left w:val="none" w:sz="0" w:space="0" w:color="auto"/>
            <w:bottom w:val="none" w:sz="0" w:space="0" w:color="auto"/>
            <w:right w:val="none" w:sz="0" w:space="0" w:color="auto"/>
          </w:divBdr>
          <w:divsChild>
            <w:div w:id="1021932318">
              <w:marLeft w:val="0"/>
              <w:marRight w:val="0"/>
              <w:marTop w:val="0"/>
              <w:marBottom w:val="0"/>
              <w:divBdr>
                <w:top w:val="none" w:sz="0" w:space="0" w:color="auto"/>
                <w:left w:val="none" w:sz="0" w:space="0" w:color="auto"/>
                <w:bottom w:val="none" w:sz="0" w:space="0" w:color="auto"/>
                <w:right w:val="none" w:sz="0" w:space="0" w:color="auto"/>
              </w:divBdr>
              <w:divsChild>
                <w:div w:id="11721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6165</Characters>
  <Application>Microsoft Office Word</Application>
  <DocSecurity>0</DocSecurity>
  <Lines>51</Lines>
  <Paragraphs>14</Paragraphs>
  <ScaleCrop>false</ScaleCrop>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Mikula</dc:creator>
  <cp:keywords/>
  <dc:description/>
  <cp:lastModifiedBy>Debbie Mikula</cp:lastModifiedBy>
  <cp:revision>2</cp:revision>
  <dcterms:created xsi:type="dcterms:W3CDTF">2023-04-17T18:58:00Z</dcterms:created>
  <dcterms:modified xsi:type="dcterms:W3CDTF">2023-04-17T18:58:00Z</dcterms:modified>
</cp:coreProperties>
</file>